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BB8EF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单位网厅操作手册</w:t>
      </w:r>
    </w:p>
    <w:p w14:paraId="3E923C48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</w:p>
    <w:p w14:paraId="0E1A63CF">
      <w:pPr>
        <w:numPr>
          <w:ilvl w:val="0"/>
          <w:numId w:val="1"/>
        </w:numPr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单位网厅登陆地址：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instrText xml:space="preserve"> HYPERLINK "https://app.hanzhonggjj.cn/bbwt/login/dwwt" </w:instrTex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https://app.hanzhonggjj.cn/bbwt/login/dwwt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fldChar w:fldCharType="end"/>
      </w:r>
    </w:p>
    <w:p w14:paraId="1E1F79A5">
      <w:pPr>
        <w:numPr>
          <w:ilvl w:val="0"/>
          <w:numId w:val="1"/>
        </w:numPr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 xml:space="preserve">登陆方式为手机扫码登陆，手机应用商店下载 </w:t>
      </w:r>
      <w:r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’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手机公积金</w:t>
      </w:r>
      <w:r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’</w:t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APP， 使用单位经办人用户信息登陆APP</w:t>
      </w:r>
    </w:p>
    <w:p w14:paraId="4E3ABA20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（注： 单位经办人信息要与业务系统中登记的单位经办人信息一致，用需变更，到柜台办理）</w:t>
      </w:r>
    </w:p>
    <w:p w14:paraId="203B0A9A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当缴存单位添加经办人信息后，证件号和手机号系统会自动注册为网厅登陆用户，初始密码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18"/>
          <w:szCs w:val="18"/>
          <w:lang w:val="en-US" w:eastAsia="zh-CN"/>
        </w:rPr>
        <w:t>Sy123456,</w:t>
      </w:r>
    </w:p>
    <w:p w14:paraId="5ED2F8B9">
      <w:pPr>
        <w:numPr>
          <w:ilvl w:val="0"/>
          <w:numId w:val="1"/>
        </w:numPr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进入“手机公积金”APP，点击左上角城市名称，搜索切换至“汉中市”</w:t>
      </w:r>
    </w:p>
    <w:p w14:paraId="5775FE45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CEB9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15D5C006">
            <w:pPr>
              <w:numPr>
                <w:ilvl w:val="0"/>
                <w:numId w:val="0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830070" cy="3999865"/>
                  <wp:effectExtent l="0" t="0" r="17780" b="63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070" cy="399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05D1603B">
            <w:pPr>
              <w:numPr>
                <w:ilvl w:val="0"/>
                <w:numId w:val="0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1860550" cy="4051935"/>
                  <wp:effectExtent l="0" t="0" r="6350" b="5715"/>
                  <wp:docPr id="3" name="图片 3" descr="4fb822f9cdb42ba9a7e01dc289b861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fb822f9cdb42ba9a7e01dc289b8610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405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3D4E66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38B76F6A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6AA406E5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73300DE4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32DF53CF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42C6E8A8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78AA586C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456F8FFA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1F65B2DE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4D88617C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3425C92D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70D943BA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20226555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1D317010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75B8B8D8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p w14:paraId="7638A873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’手机公积金‘APP--- 我的，打开右上角扫码功能，扫描单位网厅登陆二维码</w:t>
      </w:r>
    </w:p>
    <w:p w14:paraId="2AEBBF8D">
      <w:pPr>
        <w:numPr>
          <w:ilvl w:val="0"/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sz w:val="15"/>
          <w:szCs w:val="15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6"/>
        <w:gridCol w:w="4261"/>
      </w:tblGrid>
      <w:tr w14:paraId="0842D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7A183EC7">
            <w:pPr>
              <w:numPr>
                <w:ilvl w:val="0"/>
                <w:numId w:val="0"/>
              </w:numPr>
              <w:jc w:val="left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614930" cy="5697220"/>
                  <wp:effectExtent l="0" t="0" r="13970" b="177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30" cy="569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72A9E9D4">
            <w:pPr>
              <w:numPr>
                <w:ilvl w:val="0"/>
                <w:numId w:val="0"/>
              </w:numPr>
              <w:jc w:val="left"/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13"/>
                <w:szCs w:val="13"/>
                <w:vertAlign w:val="baseline"/>
                <w:lang w:val="en-US" w:eastAsia="zh-CN"/>
              </w:rPr>
              <w:drawing>
                <wp:inline distT="0" distB="0" distL="114300" distR="114300">
                  <wp:extent cx="2496185" cy="5547360"/>
                  <wp:effectExtent l="0" t="0" r="18415" b="15240"/>
                  <wp:docPr id="2" name="图片 2" descr="Screenshot_2026-07-22-14-59-14-840_com.shineyue.sjgj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Screenshot_2026-07-22-14-59-14-840_com.shineyue.sjgjj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185" cy="554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0BFE55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6690" cy="2529205"/>
            <wp:effectExtent l="0" t="0" r="10160" b="44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1ECF">
      <w:pPr>
        <w:numPr>
          <w:ilvl w:val="0"/>
          <w:numId w:val="0"/>
        </w:numPr>
        <w:ind w:leftChars="0"/>
        <w:jc w:val="left"/>
      </w:pPr>
    </w:p>
    <w:p w14:paraId="4280CCE2">
      <w:pPr>
        <w:numPr>
          <w:ilvl w:val="0"/>
          <w:numId w:val="0"/>
        </w:numPr>
        <w:ind w:leftChars="0"/>
        <w:jc w:val="left"/>
      </w:pPr>
    </w:p>
    <w:p w14:paraId="295ABC9E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如果经办人非中心缴存职工，无法登陆手机公积金APP时，在APP中点击左上角城市名称，搜索切换至“汉中市”， 无需登录，直接点击“我的”，右上方二维码扫描按钮，扫码单位网厅二维码也可授权网厅登陆。</w:t>
      </w:r>
    </w:p>
    <w:p w14:paraId="405214F0"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（ 经办人证件号、手机号等信息，必须先维护到单位基本信息中 ）</w:t>
      </w:r>
    </w:p>
    <w:p w14:paraId="7F689AF9">
      <w:pPr>
        <w:numPr>
          <w:ilvl w:val="0"/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</w:p>
    <w:p w14:paraId="62370065">
      <w:pPr>
        <w:numPr>
          <w:ilvl w:val="0"/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</w:p>
    <w:p w14:paraId="799BEF4A">
      <w:pPr>
        <w:numPr>
          <w:ilvl w:val="0"/>
          <w:numId w:val="0"/>
        </w:numPr>
        <w:ind w:leftChars="0"/>
        <w:jc w:val="left"/>
      </w:pPr>
    </w:p>
    <w:p w14:paraId="6F42FA75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进入单位网厅后，首面展示内容如下图，左侧为导航栏</w:t>
      </w:r>
    </w:p>
    <w:p w14:paraId="76745CFD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99405" cy="2607945"/>
            <wp:effectExtent l="0" t="0" r="10795" b="19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B54AF">
      <w:pPr>
        <w:numPr>
          <w:ilvl w:val="0"/>
          <w:numId w:val="0"/>
        </w:numPr>
        <w:ind w:leftChars="0"/>
        <w:jc w:val="left"/>
      </w:pPr>
    </w:p>
    <w:p w14:paraId="649C25D0">
      <w:pPr>
        <w:numPr>
          <w:ilvl w:val="0"/>
          <w:numId w:val="0"/>
        </w:numPr>
        <w:ind w:leftChars="0"/>
        <w:jc w:val="left"/>
      </w:pPr>
    </w:p>
    <w:p w14:paraId="5A309153">
      <w:pPr>
        <w:numPr>
          <w:ilvl w:val="0"/>
          <w:numId w:val="0"/>
        </w:numPr>
        <w:ind w:leftChars="0"/>
        <w:jc w:val="left"/>
      </w:pPr>
    </w:p>
    <w:p w14:paraId="7233F7AA">
      <w:pPr>
        <w:numPr>
          <w:ilvl w:val="0"/>
          <w:numId w:val="0"/>
        </w:numPr>
        <w:ind w:leftChars="0"/>
        <w:jc w:val="left"/>
      </w:pPr>
    </w:p>
    <w:p w14:paraId="58883521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进入业务模块，分‘缴存人’和‘缴存单位’两个大的功能区</w:t>
      </w:r>
    </w:p>
    <w:p w14:paraId="1AA2CBBD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86705" cy="2593340"/>
            <wp:effectExtent l="0" t="0" r="4445" b="1651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2F9A4">
      <w:pPr>
        <w:numPr>
          <w:ilvl w:val="0"/>
          <w:numId w:val="0"/>
        </w:numPr>
        <w:ind w:leftChars="0"/>
        <w:jc w:val="left"/>
      </w:pPr>
    </w:p>
    <w:p w14:paraId="1C3D1367">
      <w:pPr>
        <w:numPr>
          <w:ilvl w:val="0"/>
          <w:numId w:val="0"/>
        </w:numPr>
        <w:ind w:leftChars="0"/>
        <w:jc w:val="left"/>
      </w:pPr>
    </w:p>
    <w:p w14:paraId="1B45AAF5">
      <w:pPr>
        <w:numPr>
          <w:ilvl w:val="0"/>
          <w:numId w:val="0"/>
        </w:numPr>
        <w:ind w:leftChars="0"/>
        <w:jc w:val="left"/>
      </w:pPr>
    </w:p>
    <w:p w14:paraId="73C378CC">
      <w:pPr>
        <w:numPr>
          <w:ilvl w:val="0"/>
          <w:numId w:val="0"/>
        </w:numPr>
        <w:ind w:leftChars="0"/>
        <w:jc w:val="left"/>
      </w:pPr>
    </w:p>
    <w:p w14:paraId="7F51B105">
      <w:pPr>
        <w:numPr>
          <w:ilvl w:val="0"/>
          <w:numId w:val="0"/>
        </w:numPr>
        <w:ind w:leftChars="0"/>
        <w:jc w:val="left"/>
      </w:pPr>
    </w:p>
    <w:p w14:paraId="60E316C5">
      <w:pPr>
        <w:numPr>
          <w:ilvl w:val="0"/>
          <w:numId w:val="0"/>
        </w:numPr>
        <w:ind w:leftChars="0"/>
        <w:jc w:val="left"/>
      </w:pPr>
    </w:p>
    <w:p w14:paraId="0A6559C1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进入‘缴存人’模块，可查询本单位下所有缴存职工基础信息，也可在输入框中精确查找，或通过条件筛      选出范围查找</w:t>
      </w:r>
    </w:p>
    <w:p w14:paraId="6F80C653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99405" cy="2610485"/>
            <wp:effectExtent l="0" t="0" r="10795" b="1841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DE257">
      <w:pPr>
        <w:numPr>
          <w:ilvl w:val="0"/>
          <w:numId w:val="0"/>
        </w:numPr>
        <w:ind w:leftChars="0"/>
        <w:jc w:val="left"/>
      </w:pPr>
    </w:p>
    <w:p w14:paraId="7060864E">
      <w:pPr>
        <w:numPr>
          <w:ilvl w:val="0"/>
          <w:numId w:val="0"/>
        </w:numPr>
        <w:ind w:leftChars="0"/>
        <w:jc w:val="left"/>
      </w:pPr>
    </w:p>
    <w:p w14:paraId="3AF33072">
      <w:pPr>
        <w:numPr>
          <w:ilvl w:val="0"/>
          <w:numId w:val="0"/>
        </w:numPr>
        <w:ind w:leftChars="0"/>
        <w:jc w:val="left"/>
      </w:pPr>
    </w:p>
    <w:p w14:paraId="7FCD32C7">
      <w:pPr>
        <w:numPr>
          <w:ilvl w:val="0"/>
          <w:numId w:val="0"/>
        </w:numPr>
        <w:ind w:leftChars="0"/>
        <w:jc w:val="left"/>
      </w:pPr>
    </w:p>
    <w:p w14:paraId="055141D9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目前缴存人业务，可以办理的业务是‘缴存人基本信息变更’,提交业务前必须先上传档案，档案上传有两种方式实现，根据采集页面左侧材料目录要求上传材料，档案上传可通过手机或电脑摄像头拍摄，或用导入功能上传电脑本地图片</w:t>
      </w:r>
    </w:p>
    <w:p w14:paraId="44A48364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89245" cy="2596515"/>
            <wp:effectExtent l="0" t="0" r="1905" b="1333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9012E">
      <w:pPr>
        <w:numPr>
          <w:ilvl w:val="0"/>
          <w:numId w:val="0"/>
        </w:numPr>
        <w:ind w:leftChars="0"/>
        <w:jc w:val="left"/>
      </w:pPr>
    </w:p>
    <w:p w14:paraId="03ECF23A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96865" cy="2801620"/>
            <wp:effectExtent l="0" t="0" r="13335" b="1778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6A5CB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94960" cy="2593340"/>
            <wp:effectExtent l="0" t="0" r="15240" b="1651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7E8C7">
      <w:pPr>
        <w:numPr>
          <w:ilvl w:val="0"/>
          <w:numId w:val="0"/>
        </w:numPr>
        <w:ind w:leftChars="0"/>
        <w:jc w:val="left"/>
      </w:pPr>
    </w:p>
    <w:p w14:paraId="3FA6220D">
      <w:pPr>
        <w:numPr>
          <w:ilvl w:val="0"/>
          <w:numId w:val="0"/>
        </w:numPr>
        <w:ind w:leftChars="0"/>
        <w:jc w:val="left"/>
      </w:pPr>
    </w:p>
    <w:p w14:paraId="72424D00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上传档案材料并提交成功后，返回到单位网厅打印变更凭证，提交业务，此业务无审批，提交即办结。</w:t>
      </w:r>
    </w:p>
    <w:p w14:paraId="323DAA49"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487825B5"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bookmarkStart w:id="0" w:name="_GoBack"/>
      <w:bookmarkEnd w:id="0"/>
    </w:p>
    <w:p w14:paraId="7299DFB6"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240C9373">
      <w:pPr>
        <w:widowControl w:val="0"/>
        <w:numPr>
          <w:ilvl w:val="0"/>
          <w:numId w:val="1"/>
        </w:numPr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待办-- 已发，事项中可以查询到办理记录</w:t>
      </w:r>
    </w:p>
    <w:p w14:paraId="38DABFFD">
      <w:pPr>
        <w:widowControl w:val="0"/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94960" cy="2571115"/>
            <wp:effectExtent l="0" t="0" r="15240" b="63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E0E4B">
      <w:pPr>
        <w:widowControl w:val="0"/>
        <w:numPr>
          <w:ilvl w:val="0"/>
          <w:numId w:val="0"/>
        </w:numPr>
        <w:ind w:leftChars="0"/>
        <w:jc w:val="left"/>
      </w:pPr>
    </w:p>
    <w:p w14:paraId="11C50389">
      <w:pPr>
        <w:widowControl w:val="0"/>
        <w:numPr>
          <w:ilvl w:val="0"/>
          <w:numId w:val="0"/>
        </w:numPr>
        <w:ind w:leftChars="0"/>
        <w:jc w:val="left"/>
      </w:pPr>
    </w:p>
    <w:p w14:paraId="13B32664">
      <w:pPr>
        <w:widowControl w:val="0"/>
        <w:numPr>
          <w:ilvl w:val="0"/>
          <w:numId w:val="0"/>
        </w:numPr>
        <w:ind w:leftChars="0"/>
        <w:jc w:val="left"/>
      </w:pPr>
    </w:p>
    <w:p w14:paraId="62A6AE4C">
      <w:pPr>
        <w:widowControl w:val="0"/>
        <w:numPr>
          <w:ilvl w:val="0"/>
          <w:numId w:val="0"/>
        </w:numPr>
        <w:ind w:leftChars="0"/>
        <w:jc w:val="left"/>
      </w:pPr>
    </w:p>
    <w:p w14:paraId="513718AD">
      <w:pPr>
        <w:widowControl w:val="0"/>
        <w:numPr>
          <w:ilvl w:val="0"/>
          <w:numId w:val="1"/>
        </w:numPr>
        <w:ind w:left="0" w:leftChars="0" w:firstLine="0" w:firstLineChars="0"/>
        <w:jc w:val="left"/>
      </w:pPr>
      <w:r>
        <w:rPr>
          <w:rFonts w:hint="eastAsia"/>
          <w:lang w:val="en-US" w:eastAsia="zh-CN"/>
        </w:rPr>
        <w:t>‘缴存单位’功能区下包含如下图所示业务</w:t>
      </w:r>
    </w:p>
    <w:p w14:paraId="05AF3430">
      <w:pPr>
        <w:widowControl w:val="0"/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396230" cy="2585085"/>
            <wp:effectExtent l="0" t="0" r="13970" b="571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0AF22">
      <w:pPr>
        <w:widowControl w:val="0"/>
        <w:numPr>
          <w:ilvl w:val="0"/>
          <w:numId w:val="0"/>
        </w:numPr>
        <w:ind w:leftChars="0"/>
        <w:jc w:val="left"/>
      </w:pPr>
    </w:p>
    <w:p w14:paraId="210B55BE">
      <w:pPr>
        <w:widowControl w:val="0"/>
        <w:numPr>
          <w:ilvl w:val="0"/>
          <w:numId w:val="0"/>
        </w:numPr>
        <w:ind w:leftChars="0"/>
        <w:jc w:val="left"/>
      </w:pPr>
    </w:p>
    <w:p w14:paraId="69E06C02">
      <w:pPr>
        <w:widowControl w:val="0"/>
        <w:numPr>
          <w:ilvl w:val="0"/>
          <w:numId w:val="0"/>
        </w:numPr>
        <w:ind w:leftChars="0"/>
        <w:jc w:val="left"/>
      </w:pPr>
    </w:p>
    <w:p w14:paraId="0AAE9E72">
      <w:pPr>
        <w:widowControl w:val="0"/>
        <w:numPr>
          <w:ilvl w:val="0"/>
          <w:numId w:val="1"/>
        </w:numPr>
        <w:ind w:left="0" w:leftChars="0" w:firstLine="0" w:firstLineChars="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缴存单位汇缴办理，核对汇缴人数与金额后，提交业务，如果单位暂存款足够，会自动分配到个人账户，可通过修改结束年月，实现一次汇缴多月，但不得超过当前月份， 办理结果可在‘待办-- 已发’中查看。</w:t>
      </w:r>
    </w:p>
    <w:p w14:paraId="10AACEC9">
      <w:pPr>
        <w:widowControl w:val="0"/>
        <w:numPr>
          <w:numId w:val="0"/>
        </w:numPr>
        <w:ind w:leftChars="0"/>
        <w:jc w:val="left"/>
      </w:pPr>
      <w:r>
        <w:drawing>
          <wp:inline distT="0" distB="0" distL="114300" distR="114300">
            <wp:extent cx="5392420" cy="2585085"/>
            <wp:effectExtent l="0" t="0" r="17780" b="571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79D33">
      <w:pPr>
        <w:widowControl w:val="0"/>
        <w:numPr>
          <w:numId w:val="0"/>
        </w:numPr>
        <w:ind w:leftChars="0"/>
        <w:jc w:val="left"/>
      </w:pPr>
    </w:p>
    <w:p w14:paraId="179BD433">
      <w:pPr>
        <w:widowControl w:val="0"/>
        <w:numPr>
          <w:numId w:val="0"/>
        </w:numPr>
        <w:ind w:leftChars="0"/>
        <w:jc w:val="left"/>
      </w:pPr>
    </w:p>
    <w:p w14:paraId="16D43E10">
      <w:pPr>
        <w:widowControl w:val="0"/>
        <w:numPr>
          <w:ilvl w:val="0"/>
          <w:numId w:val="1"/>
        </w:numPr>
        <w:ind w:left="0" w:leftChars="0" w:firstLine="0" w:firstLineChars="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个人账户封存，一定要根据实际情况，选择正确的封存原因，否则会影响后续职工办理销户提取。</w:t>
      </w:r>
    </w:p>
    <w:p w14:paraId="34872D63">
      <w:pPr>
        <w:widowControl w:val="0"/>
        <w:numPr>
          <w:numId w:val="0"/>
        </w:numPr>
        <w:ind w:leftChars="0"/>
        <w:jc w:val="left"/>
      </w:pPr>
      <w:r>
        <w:drawing>
          <wp:inline distT="0" distB="0" distL="114300" distR="114300">
            <wp:extent cx="5383530" cy="2587625"/>
            <wp:effectExtent l="0" t="0" r="7620" b="317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EA249">
      <w:pPr>
        <w:widowControl w:val="0"/>
        <w:numPr>
          <w:numId w:val="0"/>
        </w:numPr>
        <w:ind w:leftChars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387975" cy="2727325"/>
            <wp:effectExtent l="0" t="0" r="3175" b="1587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46680"/>
    <w:multiLevelType w:val="singleLevel"/>
    <w:tmpl w:val="8294668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C90DA6"/>
    <w:rsid w:val="1EAC0CA5"/>
    <w:rsid w:val="38163CDC"/>
    <w:rsid w:val="392031A7"/>
    <w:rsid w:val="501871A9"/>
    <w:rsid w:val="574F492F"/>
    <w:rsid w:val="645D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667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2026-07-22T03:05:00Z</dcterms:created>
  <dc:creator>Administrator</dc:creator>
  <cp:lastModifiedBy>Administrator</cp:lastModifiedBy>
  <dcterms:modified xsi:type="dcterms:W3CDTF">2026-07-26T07:20:50Z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542AA3333A8448978EBB3D90DD4D2E49_12</vt:lpwstr>
  </property>
</Properties>
</file>